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039" w:type="dxa"/>
        <w:tblLook w:val="04A0" w:firstRow="1" w:lastRow="0" w:firstColumn="1" w:lastColumn="0" w:noHBand="0" w:noVBand="1"/>
      </w:tblPr>
      <w:tblGrid>
        <w:gridCol w:w="1686"/>
        <w:gridCol w:w="845"/>
        <w:gridCol w:w="6101"/>
        <w:gridCol w:w="1407"/>
      </w:tblGrid>
      <w:tr w:rsidR="002518A6" w:rsidTr="00B55833">
        <w:trPr>
          <w:trHeight w:val="963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D052C2" w:rsidRPr="00151CEF" w:rsidRDefault="00D052C2" w:rsidP="00151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D052C2" w:rsidRPr="00D052C2" w:rsidRDefault="00B55833" w:rsidP="00151CEF">
            <w:pPr>
              <w:ind w:left="-504" w:right="1009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63BC300" wp14:editId="0DB49C3D">
                  <wp:extent cx="1727200" cy="518160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D052C2" w:rsidRPr="00D052C2" w:rsidRDefault="00D052C2" w:rsidP="00151CEF">
            <w:pPr>
              <w:jc w:val="center"/>
              <w:rPr>
                <w:sz w:val="20"/>
                <w:szCs w:val="20"/>
              </w:rPr>
            </w:pPr>
          </w:p>
        </w:tc>
      </w:tr>
      <w:tr w:rsidR="00151CEF" w:rsidTr="00B55833">
        <w:trPr>
          <w:trHeight w:val="539"/>
        </w:trPr>
        <w:tc>
          <w:tcPr>
            <w:tcW w:w="2531" w:type="dxa"/>
            <w:gridSpan w:val="2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151CEF" w:rsidRPr="00EC25AB" w:rsidRDefault="00151CEF">
            <w:pPr>
              <w:rPr>
                <w:b/>
              </w:rPr>
            </w:pPr>
          </w:p>
        </w:tc>
        <w:tc>
          <w:tcPr>
            <w:tcW w:w="7508" w:type="dxa"/>
            <w:gridSpan w:val="2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151CEF" w:rsidRPr="00151CEF" w:rsidRDefault="00151CEF">
            <w:pPr>
              <w:rPr>
                <w:sz w:val="20"/>
                <w:szCs w:val="20"/>
              </w:rPr>
            </w:pPr>
          </w:p>
        </w:tc>
      </w:tr>
      <w:tr w:rsidR="00151CEF" w:rsidRPr="00745817" w:rsidTr="00B55833">
        <w:tc>
          <w:tcPr>
            <w:tcW w:w="2531" w:type="dxa"/>
            <w:gridSpan w:val="2"/>
            <w:shd w:val="clear" w:color="auto" w:fill="C6D9F1" w:themeFill="text2" w:themeFillTint="33"/>
            <w:vAlign w:val="center"/>
          </w:tcPr>
          <w:p w:rsidR="00151CEF" w:rsidRPr="00EC25AB" w:rsidRDefault="00151CEF" w:rsidP="00727186">
            <w:pPr>
              <w:rPr>
                <w:b/>
              </w:rPr>
            </w:pPr>
            <w:r w:rsidRPr="00EC25AB">
              <w:rPr>
                <w:b/>
              </w:rPr>
              <w:t xml:space="preserve">Job </w:t>
            </w:r>
            <w:r>
              <w:rPr>
                <w:b/>
              </w:rPr>
              <w:t>Title:</w:t>
            </w:r>
          </w:p>
        </w:tc>
        <w:tc>
          <w:tcPr>
            <w:tcW w:w="7508" w:type="dxa"/>
            <w:gridSpan w:val="2"/>
            <w:shd w:val="clear" w:color="auto" w:fill="FFFFFF" w:themeFill="background1"/>
            <w:vAlign w:val="center"/>
          </w:tcPr>
          <w:p w:rsidR="00F453A6" w:rsidRDefault="00851ADC" w:rsidP="002670B1">
            <w:pPr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</w:pPr>
            <w:r w:rsidRPr="002670B1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Neolaureati </w:t>
            </w:r>
            <w:r w:rsidR="002670B1" w:rsidRPr="002670B1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triennali in Ingegneria Elettronica e delle Telecomunicazioni e in Ingegneria Informatica e dell’Automazione e Magistrali in Ingegneri Informatica e in Ingegneria delle Telecomunicazioni </w:t>
            </w:r>
          </w:p>
          <w:p w:rsidR="00151CEF" w:rsidRPr="00F453A6" w:rsidRDefault="000F1F35" w:rsidP="002670B1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proofErr w:type="gramStart"/>
            <w:r w:rsidRPr="00F453A6">
              <w:rPr>
                <w:rFonts w:ascii="Helvetica" w:eastAsia="Times New Roman" w:hAnsi="Helvetica" w:cs="Times New Roman"/>
                <w:b/>
                <w:color w:val="2D3133"/>
                <w:sz w:val="24"/>
                <w:szCs w:val="24"/>
                <w:lang w:eastAsia="it-IT"/>
              </w:rPr>
              <w:t>che</w:t>
            </w:r>
            <w:proofErr w:type="gramEnd"/>
            <w:r w:rsidRPr="00F453A6">
              <w:rPr>
                <w:rFonts w:ascii="Helvetica" w:eastAsia="Times New Roman" w:hAnsi="Helvetica" w:cs="Times New Roman"/>
                <w:b/>
                <w:color w:val="2D3133"/>
                <w:sz w:val="24"/>
                <w:szCs w:val="24"/>
                <w:lang w:eastAsia="it-IT"/>
              </w:rPr>
              <w:t xml:space="preserve"> vogliano intraprendere il percorso di sviluppo software</w:t>
            </w:r>
            <w:r w:rsidRPr="00F453A6">
              <w:rPr>
                <w:b/>
                <w:bCs/>
                <w:sz w:val="20"/>
                <w:szCs w:val="20"/>
              </w:rPr>
              <w:t xml:space="preserve"> </w:t>
            </w:r>
            <w:bookmarkEnd w:id="0"/>
          </w:p>
        </w:tc>
      </w:tr>
      <w:tr w:rsidR="00151CEF" w:rsidRPr="00EC25AB" w:rsidTr="00B55833">
        <w:tc>
          <w:tcPr>
            <w:tcW w:w="2531" w:type="dxa"/>
            <w:gridSpan w:val="2"/>
            <w:shd w:val="clear" w:color="auto" w:fill="C6D9F1" w:themeFill="text2" w:themeFillTint="33"/>
            <w:vAlign w:val="center"/>
          </w:tcPr>
          <w:p w:rsidR="00151CEF" w:rsidRPr="00EC25AB" w:rsidRDefault="00151CEF" w:rsidP="00727186">
            <w:pPr>
              <w:rPr>
                <w:b/>
              </w:rPr>
            </w:pPr>
            <w:r w:rsidRPr="00EC25AB">
              <w:rPr>
                <w:b/>
              </w:rPr>
              <w:t>Sede</w:t>
            </w:r>
            <w:r>
              <w:rPr>
                <w:b/>
              </w:rPr>
              <w:t>:</w:t>
            </w:r>
          </w:p>
        </w:tc>
        <w:tc>
          <w:tcPr>
            <w:tcW w:w="7508" w:type="dxa"/>
            <w:gridSpan w:val="2"/>
            <w:shd w:val="clear" w:color="auto" w:fill="FFFFFF" w:themeFill="background1"/>
            <w:vAlign w:val="center"/>
          </w:tcPr>
          <w:p w:rsidR="00151CEF" w:rsidRPr="00B55833" w:rsidRDefault="0045679C" w:rsidP="003B49F8">
            <w:pPr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</w:pPr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Pomezia</w:t>
            </w:r>
            <w:r w:rsidR="002670B1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 </w:t>
            </w:r>
            <w:r w:rsidR="00DA3B81"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- Roma</w:t>
            </w:r>
          </w:p>
        </w:tc>
      </w:tr>
      <w:tr w:rsidR="00151CEF" w:rsidTr="00B55833">
        <w:tc>
          <w:tcPr>
            <w:tcW w:w="2531" w:type="dxa"/>
            <w:gridSpan w:val="2"/>
            <w:shd w:val="clear" w:color="auto" w:fill="C6D9F1" w:themeFill="text2" w:themeFillTint="33"/>
            <w:vAlign w:val="center"/>
          </w:tcPr>
          <w:p w:rsidR="00151CEF" w:rsidRPr="00EC25AB" w:rsidRDefault="00B55833" w:rsidP="00727186">
            <w:pPr>
              <w:rPr>
                <w:b/>
              </w:rPr>
            </w:pPr>
            <w:r>
              <w:rPr>
                <w:b/>
              </w:rPr>
              <w:t xml:space="preserve">Tipologia contrattuale e </w:t>
            </w:r>
            <w:r w:rsidR="00151CEF" w:rsidRPr="00EC25AB">
              <w:rPr>
                <w:b/>
              </w:rPr>
              <w:t>Orario di lavoro</w:t>
            </w:r>
            <w:r w:rsidR="00151CEF">
              <w:rPr>
                <w:b/>
              </w:rPr>
              <w:t>:</w:t>
            </w:r>
          </w:p>
        </w:tc>
        <w:tc>
          <w:tcPr>
            <w:tcW w:w="7508" w:type="dxa"/>
            <w:gridSpan w:val="2"/>
            <w:shd w:val="clear" w:color="auto" w:fill="FFFFFF" w:themeFill="background1"/>
            <w:vAlign w:val="center"/>
          </w:tcPr>
          <w:p w:rsidR="00151CEF" w:rsidRPr="00B55833" w:rsidRDefault="00B55833" w:rsidP="002670B1">
            <w:pPr>
              <w:pStyle w:val="NormaleWeb"/>
              <w:shd w:val="clear" w:color="auto" w:fill="FFFFFF"/>
              <w:spacing w:before="0" w:beforeAutospacing="0" w:after="225" w:afterAutospacing="0" w:line="300" w:lineRule="atLeast"/>
              <w:textAlignment w:val="baseline"/>
              <w:rPr>
                <w:rFonts w:ascii="Helvetica" w:hAnsi="Helvetica"/>
                <w:color w:val="2D3133"/>
              </w:rPr>
            </w:pPr>
            <w:r>
              <w:rPr>
                <w:rFonts w:ascii="Helvetica" w:hAnsi="Helvetica"/>
                <w:color w:val="2D3133"/>
              </w:rPr>
              <w:t>A seguito del periodo di formazione retribuita, verrà avviato contratto di apprendistato per i candidati idonei</w:t>
            </w:r>
            <w:r w:rsidR="002670B1">
              <w:rPr>
                <w:rFonts w:ascii="Helvetica" w:hAnsi="Helvetica"/>
                <w:color w:val="2D3133"/>
              </w:rPr>
              <w:t xml:space="preserve">    </w:t>
            </w:r>
            <w:r w:rsidR="000D752B" w:rsidRPr="00B55833">
              <w:rPr>
                <w:rFonts w:ascii="Helvetica" w:hAnsi="Helvetica"/>
                <w:color w:val="2D3133"/>
              </w:rPr>
              <w:t>full-time</w:t>
            </w:r>
            <w:r w:rsidRPr="00B55833">
              <w:rPr>
                <w:rFonts w:ascii="Helvetica" w:hAnsi="Helvetica"/>
                <w:color w:val="2D3133"/>
              </w:rPr>
              <w:t xml:space="preserve"> </w:t>
            </w:r>
          </w:p>
        </w:tc>
      </w:tr>
      <w:tr w:rsidR="00EC25AB" w:rsidTr="00B55833">
        <w:tc>
          <w:tcPr>
            <w:tcW w:w="10039" w:type="dxa"/>
            <w:gridSpan w:val="4"/>
            <w:shd w:val="clear" w:color="auto" w:fill="C6D9F1" w:themeFill="text2" w:themeFillTint="33"/>
            <w:vAlign w:val="center"/>
          </w:tcPr>
          <w:p w:rsidR="00EC25AB" w:rsidRDefault="00EC25AB" w:rsidP="00727186">
            <w:r w:rsidRPr="00EC25AB">
              <w:rPr>
                <w:b/>
              </w:rPr>
              <w:t>Profilo</w:t>
            </w:r>
            <w:r w:rsidR="00151CEF">
              <w:rPr>
                <w:b/>
              </w:rPr>
              <w:t>:</w:t>
            </w:r>
          </w:p>
        </w:tc>
      </w:tr>
      <w:tr w:rsidR="00EC25AB" w:rsidRPr="002F6A3B" w:rsidTr="00B55833">
        <w:tc>
          <w:tcPr>
            <w:tcW w:w="10039" w:type="dxa"/>
            <w:gridSpan w:val="4"/>
          </w:tcPr>
          <w:p w:rsidR="003B49F8" w:rsidRPr="00851ADC" w:rsidRDefault="003B49F8" w:rsidP="003B49F8">
            <w:pPr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</w:pPr>
          </w:p>
          <w:p w:rsidR="003B252B" w:rsidRDefault="00851ADC" w:rsidP="00851ADC">
            <w:pPr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</w:pPr>
            <w:r w:rsidRPr="00851ADC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ADSLab è il piano di formazione e inserimento professionale completamente retribuito ideato da </w:t>
            </w:r>
            <w:hyperlink r:id="rId6" w:tooltip="ADS - Assembly Data System" w:history="1">
              <w:r w:rsidRPr="00851ADC">
                <w:rPr>
                  <w:rFonts w:ascii="Helvetica" w:eastAsia="Times New Roman" w:hAnsi="Helvetica" w:cs="Times New Roman"/>
                  <w:color w:val="2D3133"/>
                  <w:sz w:val="24"/>
                  <w:szCs w:val="24"/>
                  <w:lang w:eastAsia="it-IT"/>
                </w:rPr>
                <w:t>ADS Assembly Data System</w:t>
              </w:r>
            </w:hyperlink>
            <w:r w:rsidRPr="00851ADC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 SPA che prevede un periodo di affiancamento in aula da parte di professionisti ADS che operano sul campo. Al termine della f</w:t>
            </w:r>
            <w:r w:rsidR="005A64AE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ase di studio di </w:t>
            </w:r>
            <w:r w:rsidRPr="00851ADC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quattro settimane di full immersion</w:t>
            </w:r>
            <w:r w:rsidR="005A64AE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 in Aula</w:t>
            </w:r>
            <w:r w:rsidRPr="00851ADC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, è previsto l’inserimento in azienda e l’allocazione presso i Clienti. Il programma di formazione è pensato per essere fortemente tecnico e 100% operativo per da accelerare il processo di integrazione col mondo del lavoro. La presenza costante di un tutor ti garantisce assistenza continuativa e supporto sulla formazione tecnica.</w:t>
            </w:r>
          </w:p>
          <w:p w:rsidR="00851ADC" w:rsidRPr="00851ADC" w:rsidRDefault="00851ADC" w:rsidP="00851ADC">
            <w:pPr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</w:pPr>
          </w:p>
        </w:tc>
      </w:tr>
      <w:tr w:rsidR="00EC25AB" w:rsidRPr="00B02148" w:rsidTr="00B55833">
        <w:tc>
          <w:tcPr>
            <w:tcW w:w="10039" w:type="dxa"/>
            <w:gridSpan w:val="4"/>
          </w:tcPr>
          <w:p w:rsidR="0045679C" w:rsidRDefault="0045679C" w:rsidP="0045679C">
            <w:pPr>
              <w:rPr>
                <w:bCs/>
                <w:szCs w:val="20"/>
              </w:rPr>
            </w:pPr>
          </w:p>
          <w:p w:rsidR="002670B1" w:rsidRDefault="00851ADC" w:rsidP="00851ADC">
            <w:pPr>
              <w:pStyle w:val="NormaleWeb"/>
              <w:shd w:val="clear" w:color="auto" w:fill="FFFFFF"/>
              <w:spacing w:before="0" w:beforeAutospacing="0" w:after="225" w:afterAutospacing="0" w:line="300" w:lineRule="atLeast"/>
              <w:textAlignment w:val="baseline"/>
              <w:rPr>
                <w:rFonts w:ascii="Helvetica" w:hAnsi="Helvetica"/>
                <w:color w:val="2D3133"/>
              </w:rPr>
            </w:pPr>
            <w:r>
              <w:rPr>
                <w:rFonts w:ascii="Helvetica" w:hAnsi="Helvetica"/>
                <w:color w:val="2D3133"/>
              </w:rPr>
              <w:t>Gli ambiti di riferimento per le professionalità da avviare in ambito Sviluppo Software sono le seguenti:</w:t>
            </w:r>
          </w:p>
          <w:p w:rsidR="00851ADC" w:rsidRDefault="00851ADC" w:rsidP="00851ADC">
            <w:pPr>
              <w:pStyle w:val="NormaleWeb"/>
              <w:shd w:val="clear" w:color="auto" w:fill="FFFFFF"/>
              <w:spacing w:before="0" w:beforeAutospacing="0" w:after="225" w:afterAutospacing="0" w:line="300" w:lineRule="atLeast"/>
              <w:textAlignment w:val="baseline"/>
              <w:rPr>
                <w:rFonts w:ascii="Helvetica" w:hAnsi="Helvetica"/>
                <w:color w:val="2D3133"/>
              </w:rPr>
            </w:pPr>
            <w:r>
              <w:rPr>
                <w:rFonts w:ascii="Helvetica" w:hAnsi="Helvetica"/>
                <w:color w:val="2D3133"/>
              </w:rPr>
              <w:t>- Sviluppo web basato su Java</w:t>
            </w:r>
            <w:r>
              <w:rPr>
                <w:rFonts w:ascii="Helvetica" w:hAnsi="Helvetica"/>
                <w:color w:val="2D3133"/>
              </w:rPr>
              <w:br/>
              <w:t>- Team building g e sviluppo basato su sistemi ad alta complessità</w:t>
            </w:r>
            <w:r>
              <w:rPr>
                <w:rFonts w:ascii="Helvetica" w:hAnsi="Helvetica"/>
                <w:color w:val="2D3133"/>
              </w:rPr>
              <w:br/>
              <w:t>- </w:t>
            </w:r>
            <w:proofErr w:type="spellStart"/>
            <w:r>
              <w:rPr>
                <w:rFonts w:ascii="Helvetica" w:hAnsi="Helvetica"/>
                <w:color w:val="2D3133"/>
              </w:rPr>
              <w:t>Tuning</w:t>
            </w:r>
            <w:proofErr w:type="spellEnd"/>
            <w:r>
              <w:rPr>
                <w:rFonts w:ascii="Helvetica" w:hAnsi="Helvetica"/>
                <w:color w:val="2D3133"/>
              </w:rPr>
              <w:t xml:space="preserve"> applicativo</w:t>
            </w:r>
            <w:r>
              <w:rPr>
                <w:rFonts w:ascii="Helvetica" w:hAnsi="Helvetica"/>
                <w:color w:val="2D3133"/>
              </w:rPr>
              <w:br/>
              <w:t>- Sviluppo mobile</w:t>
            </w:r>
          </w:p>
          <w:p w:rsidR="00851ADC" w:rsidRDefault="00851ADC" w:rsidP="00851ADC">
            <w:pPr>
              <w:pStyle w:val="NormaleWeb"/>
              <w:shd w:val="clear" w:color="auto" w:fill="FFFFFF"/>
              <w:spacing w:before="0" w:beforeAutospacing="0" w:after="225" w:afterAutospacing="0" w:line="300" w:lineRule="atLeast"/>
              <w:textAlignment w:val="baseline"/>
              <w:rPr>
                <w:rFonts w:ascii="Helvetica" w:hAnsi="Helvetica"/>
                <w:color w:val="2D3133"/>
              </w:rPr>
            </w:pPr>
            <w:r>
              <w:rPr>
                <w:rFonts w:ascii="Helvetica" w:hAnsi="Helvetica"/>
                <w:color w:val="2D3133"/>
              </w:rPr>
              <w:t>Siamo alla ricerca di giovani brillanti e motivati a intraprendere un percorso di crescita, in possesso dei seguenti requisiti:</w:t>
            </w:r>
          </w:p>
          <w:p w:rsidR="00F453A6" w:rsidRDefault="00851ADC" w:rsidP="00F453A6">
            <w:pPr>
              <w:pStyle w:val="NormaleWeb"/>
              <w:shd w:val="clear" w:color="auto" w:fill="FFFFFF"/>
              <w:spacing w:before="0" w:beforeAutospacing="0" w:after="225" w:afterAutospacing="0" w:line="300" w:lineRule="atLeast"/>
              <w:textAlignment w:val="baseline"/>
              <w:rPr>
                <w:rFonts w:ascii="Helvetica" w:hAnsi="Helvetica"/>
                <w:color w:val="2D3133"/>
              </w:rPr>
            </w:pPr>
            <w:r>
              <w:rPr>
                <w:rFonts w:ascii="Helvetica" w:hAnsi="Helvetica"/>
                <w:color w:val="2D3133"/>
              </w:rPr>
              <w:t>- Laurea</w:t>
            </w:r>
            <w:r w:rsidR="000F1F35">
              <w:rPr>
                <w:rFonts w:ascii="Helvetica" w:hAnsi="Helvetica"/>
                <w:color w:val="2D3133"/>
              </w:rPr>
              <w:t xml:space="preserve"> </w:t>
            </w:r>
            <w:r w:rsidR="002670B1">
              <w:rPr>
                <w:rFonts w:ascii="Helvetica" w:hAnsi="Helvetica"/>
                <w:color w:val="2D3133"/>
              </w:rPr>
              <w:t>t</w:t>
            </w:r>
            <w:r w:rsidR="002670B1" w:rsidRPr="002670B1">
              <w:rPr>
                <w:rFonts w:ascii="Helvetica" w:hAnsi="Helvetica"/>
                <w:color w:val="2D3133"/>
              </w:rPr>
              <w:t>riennali in Ingegneria Elettronica e delle Telecomunicazioni e in Ingegneria Informatica e dell’Automazione e Magistrali in Ingegneri</w:t>
            </w:r>
            <w:r w:rsidR="002670B1">
              <w:rPr>
                <w:rFonts w:ascii="Helvetica" w:hAnsi="Helvetica"/>
                <w:color w:val="2D3133"/>
              </w:rPr>
              <w:t>a</w:t>
            </w:r>
            <w:r w:rsidR="002670B1" w:rsidRPr="002670B1">
              <w:rPr>
                <w:rFonts w:ascii="Helvetica" w:hAnsi="Helvetica"/>
                <w:color w:val="2D3133"/>
              </w:rPr>
              <w:t xml:space="preserve"> Informatica e in Ingegneria delle Telecomunicazioni</w:t>
            </w:r>
            <w:r w:rsidR="002670B1">
              <w:rPr>
                <w:rFonts w:ascii="Helvetica" w:hAnsi="Helvetica"/>
                <w:color w:val="2D3133"/>
              </w:rPr>
              <w:t xml:space="preserve"> </w:t>
            </w:r>
          </w:p>
          <w:p w:rsidR="002F6A3B" w:rsidRPr="00B02148" w:rsidRDefault="00851ADC" w:rsidP="00F453A6">
            <w:pPr>
              <w:pStyle w:val="NormaleWeb"/>
              <w:shd w:val="clear" w:color="auto" w:fill="FFFFFF"/>
              <w:spacing w:before="0" w:beforeAutospacing="0" w:after="225" w:afterAutospacing="0" w:line="300" w:lineRule="atLeast"/>
              <w:textAlignment w:val="baseline"/>
            </w:pPr>
            <w:r>
              <w:rPr>
                <w:rFonts w:ascii="Helvetica" w:hAnsi="Helvetica"/>
                <w:color w:val="2D3133"/>
              </w:rPr>
              <w:t>- Buona conoscenza della Lingua Inglese</w:t>
            </w:r>
            <w:r>
              <w:rPr>
                <w:rFonts w:ascii="Helvetica" w:hAnsi="Helvetica"/>
                <w:color w:val="2D3133"/>
              </w:rPr>
              <w:br/>
              <w:t>- Capacità di lavorare in team e spirito di adattamento</w:t>
            </w:r>
            <w:r>
              <w:rPr>
                <w:rFonts w:ascii="Helvetica" w:hAnsi="Helvetica"/>
                <w:color w:val="2D3133"/>
              </w:rPr>
              <w:br/>
              <w:t>- Pas</w:t>
            </w:r>
            <w:r w:rsidR="002670B1">
              <w:rPr>
                <w:rFonts w:ascii="Helvetica" w:hAnsi="Helvetica"/>
                <w:color w:val="2D3133"/>
              </w:rPr>
              <w:t>s</w:t>
            </w:r>
            <w:r>
              <w:rPr>
                <w:rFonts w:ascii="Helvetica" w:hAnsi="Helvetica"/>
                <w:color w:val="2D3133"/>
              </w:rPr>
              <w:t>ione per il mondo delle telecomunicazioni e dello sviluppo software</w:t>
            </w:r>
          </w:p>
        </w:tc>
      </w:tr>
      <w:tr w:rsidR="00151CEF" w:rsidTr="00B55833">
        <w:trPr>
          <w:trHeight w:val="1479"/>
        </w:trPr>
        <w:tc>
          <w:tcPr>
            <w:tcW w:w="2531" w:type="dxa"/>
            <w:gridSpan w:val="2"/>
            <w:shd w:val="clear" w:color="auto" w:fill="C6D9F1" w:themeFill="text2" w:themeFillTint="33"/>
            <w:vAlign w:val="center"/>
          </w:tcPr>
          <w:p w:rsidR="00151CEF" w:rsidRDefault="00B55833" w:rsidP="00727186">
            <w:r>
              <w:rPr>
                <w:b/>
              </w:rPr>
              <w:t>Per candidarsi:</w:t>
            </w:r>
          </w:p>
        </w:tc>
        <w:tc>
          <w:tcPr>
            <w:tcW w:w="7508" w:type="dxa"/>
            <w:gridSpan w:val="2"/>
            <w:shd w:val="clear" w:color="auto" w:fill="FFFFFF" w:themeFill="background1"/>
            <w:vAlign w:val="center"/>
          </w:tcPr>
          <w:p w:rsidR="00B55833" w:rsidRPr="00B55833" w:rsidRDefault="00B55833" w:rsidP="00B55833">
            <w:pPr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</w:pPr>
            <w:proofErr w:type="gramStart"/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inviare</w:t>
            </w:r>
            <w:proofErr w:type="gramEnd"/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 il proprio cv aggiornato a: </w:t>
            </w:r>
            <w:r w:rsidR="000F1F35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adslab@assembly.it</w:t>
            </w:r>
          </w:p>
          <w:p w:rsidR="00B55833" w:rsidRPr="00B55833" w:rsidRDefault="00B55833" w:rsidP="00B55833">
            <w:pPr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</w:pPr>
            <w:proofErr w:type="gramStart"/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inserendo</w:t>
            </w:r>
            <w:proofErr w:type="gramEnd"/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 in oggetto “Rif. NEOINF_02</w:t>
            </w:r>
            <w:r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 </w:t>
            </w:r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Contatto Ufficio </w:t>
            </w:r>
            <w:proofErr w:type="spellStart"/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Placement</w:t>
            </w:r>
            <w:proofErr w:type="spellEnd"/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 Politecnico di Bari”</w:t>
            </w:r>
            <w:r w:rsidR="002670B1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 entro il 16.03.2016</w:t>
            </w:r>
          </w:p>
          <w:p w:rsidR="00B55833" w:rsidRPr="00B55833" w:rsidRDefault="00B55833" w:rsidP="00B55833">
            <w:pPr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</w:pPr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Il CV dovrà contenere l’autorizzazione al trattamento dei dati personali ai sensi del D. </w:t>
            </w:r>
            <w:proofErr w:type="spellStart"/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Lgs</w:t>
            </w:r>
            <w:proofErr w:type="spellEnd"/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 xml:space="preserve">. n. 196/2003 ed attestazione di veridicità ai sensi del DPR n.445/2000. </w:t>
            </w:r>
          </w:p>
          <w:p w:rsidR="00151CEF" w:rsidRPr="00151CEF" w:rsidRDefault="00B55833" w:rsidP="002670B1">
            <w:pPr>
              <w:rPr>
                <w:sz w:val="20"/>
                <w:szCs w:val="20"/>
              </w:rPr>
            </w:pPr>
            <w:r w:rsidRPr="00B55833">
              <w:rPr>
                <w:rFonts w:ascii="Helvetica" w:eastAsia="Times New Roman" w:hAnsi="Helvetica" w:cs="Times New Roman"/>
                <w:color w:val="2D3133"/>
                <w:sz w:val="24"/>
                <w:szCs w:val="24"/>
                <w:lang w:eastAsia="it-IT"/>
              </w:rPr>
              <w:t>Il presente annuncio è rivolto ad ambo i sessi, ai sensi della normativa vigente.</w:t>
            </w:r>
          </w:p>
        </w:tc>
      </w:tr>
    </w:tbl>
    <w:p w:rsidR="003B49F8" w:rsidRPr="00151CEF" w:rsidRDefault="003B49F8" w:rsidP="00151CEF">
      <w:pPr>
        <w:rPr>
          <w:sz w:val="2"/>
          <w:szCs w:val="2"/>
        </w:rPr>
      </w:pPr>
    </w:p>
    <w:sectPr w:rsidR="003B49F8" w:rsidRPr="00151CEF" w:rsidSect="00151CE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2E9E"/>
    <w:multiLevelType w:val="hybridMultilevel"/>
    <w:tmpl w:val="3A985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5757"/>
    <w:multiLevelType w:val="hybridMultilevel"/>
    <w:tmpl w:val="EC6693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0652A3"/>
    <w:multiLevelType w:val="hybridMultilevel"/>
    <w:tmpl w:val="2250A6DE"/>
    <w:lvl w:ilvl="0" w:tplc="86DE57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93FE1"/>
    <w:multiLevelType w:val="hybridMultilevel"/>
    <w:tmpl w:val="8DFC9C58"/>
    <w:lvl w:ilvl="0" w:tplc="4F4A2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C7F99"/>
    <w:multiLevelType w:val="hybridMultilevel"/>
    <w:tmpl w:val="737E23E4"/>
    <w:lvl w:ilvl="0" w:tplc="612E8E9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color w:val="333333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E6823"/>
    <w:multiLevelType w:val="hybridMultilevel"/>
    <w:tmpl w:val="284A0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3B7"/>
    <w:multiLevelType w:val="hybridMultilevel"/>
    <w:tmpl w:val="9962F53A"/>
    <w:lvl w:ilvl="0" w:tplc="BE58BB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AB"/>
    <w:rsid w:val="00014D91"/>
    <w:rsid w:val="000D752B"/>
    <w:rsid w:val="000F1F35"/>
    <w:rsid w:val="00151CEF"/>
    <w:rsid w:val="001E332C"/>
    <w:rsid w:val="002518A6"/>
    <w:rsid w:val="002670B1"/>
    <w:rsid w:val="002E159B"/>
    <w:rsid w:val="002F6A3B"/>
    <w:rsid w:val="00356C24"/>
    <w:rsid w:val="003B252B"/>
    <w:rsid w:val="003B49F8"/>
    <w:rsid w:val="00435037"/>
    <w:rsid w:val="0045679C"/>
    <w:rsid w:val="004844FA"/>
    <w:rsid w:val="005A64AE"/>
    <w:rsid w:val="00650D22"/>
    <w:rsid w:val="00665885"/>
    <w:rsid w:val="00727186"/>
    <w:rsid w:val="00745817"/>
    <w:rsid w:val="00851ADC"/>
    <w:rsid w:val="00915889"/>
    <w:rsid w:val="00966440"/>
    <w:rsid w:val="00A2682C"/>
    <w:rsid w:val="00A3527B"/>
    <w:rsid w:val="00B02148"/>
    <w:rsid w:val="00B31F77"/>
    <w:rsid w:val="00B55833"/>
    <w:rsid w:val="00C55C9B"/>
    <w:rsid w:val="00CF704F"/>
    <w:rsid w:val="00D052C2"/>
    <w:rsid w:val="00D176E5"/>
    <w:rsid w:val="00D7640B"/>
    <w:rsid w:val="00DA3B81"/>
    <w:rsid w:val="00DE1A9C"/>
    <w:rsid w:val="00EC25AB"/>
    <w:rsid w:val="00F4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4CCDC-AA2D-420B-A321-FFDA6F7B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2C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49F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851ADC"/>
  </w:style>
  <w:style w:type="character" w:styleId="Collegamentoipertestuale">
    <w:name w:val="Hyperlink"/>
    <w:basedOn w:val="Carpredefinitoparagrafo"/>
    <w:uiPriority w:val="99"/>
    <w:semiHidden/>
    <w:unhideWhenUsed/>
    <w:rsid w:val="00851AD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5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embly.i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Annuncio Recruitment Online</vt:lpstr>
    </vt:vector>
  </TitlesOfParts>
  <Company>ADS Assembly Data System SpA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Annuncio Recruitment Online</dc:title>
  <dc:creator>Gianfranco Piazzolla</dc:creator>
  <cp:lastModifiedBy>AMM-P0235</cp:lastModifiedBy>
  <cp:revision>3</cp:revision>
  <dcterms:created xsi:type="dcterms:W3CDTF">2016-02-10T11:13:00Z</dcterms:created>
  <dcterms:modified xsi:type="dcterms:W3CDTF">2016-02-10T11:26:00Z</dcterms:modified>
  <cp:contentStatus>Rev A</cp:contentStatus>
</cp:coreProperties>
</file>